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23" w:rsidRPr="00642ACB" w:rsidRDefault="007C1923" w:rsidP="007C1923">
      <w:pPr>
        <w:pStyle w:val="brz-css-dtrnh"/>
        <w:shd w:val="clear" w:color="auto" w:fill="FFFFFF"/>
        <w:spacing w:before="0" w:beforeAutospacing="0" w:after="0" w:afterAutospacing="0"/>
        <w:rPr>
          <w:rFonts w:ascii="Arial" w:hAnsi="Arial" w:cs="Arial"/>
          <w:b/>
          <w:color w:val="000000"/>
        </w:rPr>
      </w:pPr>
      <w:bookmarkStart w:id="0" w:name="_GoBack"/>
      <w:bookmarkEnd w:id="0"/>
      <w:r>
        <w:rPr>
          <w:rFonts w:ascii="inherit" w:hAnsi="inherit"/>
          <w:color w:val="666666"/>
        </w:rPr>
        <w:t xml:space="preserve">                     </w:t>
      </w:r>
      <w:r w:rsidR="00831C90">
        <w:rPr>
          <w:rFonts w:ascii="inherit" w:hAnsi="inherit"/>
          <w:color w:val="666666"/>
        </w:rPr>
        <w:t xml:space="preserve">              </w:t>
      </w:r>
      <w:r w:rsidR="00831C90" w:rsidRPr="00831C90">
        <w:rPr>
          <w:rFonts w:ascii="inherit" w:hAnsi="inherit"/>
          <w:b/>
          <w:color w:val="666666"/>
        </w:rPr>
        <w:t xml:space="preserve"> </w:t>
      </w:r>
      <w:r w:rsidRPr="00642ACB">
        <w:rPr>
          <w:rFonts w:ascii="Arial" w:hAnsi="Arial" w:cs="Arial"/>
          <w:b/>
          <w:color w:val="666666"/>
        </w:rPr>
        <w:t>TEMARIO</w:t>
      </w:r>
      <w:r w:rsidR="00831C90" w:rsidRPr="00642ACB">
        <w:rPr>
          <w:rFonts w:ascii="Arial" w:hAnsi="Arial" w:cs="Arial"/>
          <w:b/>
          <w:color w:val="666666"/>
        </w:rPr>
        <w:t xml:space="preserve"> SECRETARIA/O JUZGADO de FAMILIA N° 2</w:t>
      </w:r>
    </w:p>
    <w:p w:rsidR="007C1923" w:rsidRDefault="007C1923" w:rsidP="007C1923">
      <w:pPr>
        <w:pStyle w:val="brz-css-hhscl"/>
        <w:shd w:val="clear" w:color="auto" w:fill="FFFFFF"/>
        <w:spacing w:before="0" w:beforeAutospacing="0" w:after="0" w:afterAutospacing="0"/>
        <w:rPr>
          <w:color w:val="000000"/>
        </w:rPr>
      </w:pPr>
    </w:p>
    <w:p w:rsidR="00831C90" w:rsidRPr="001D5623" w:rsidRDefault="00831C90" w:rsidP="007C1923">
      <w:pPr>
        <w:pStyle w:val="brz-css-tdvfd"/>
        <w:shd w:val="clear" w:color="auto" w:fill="FFFFFF"/>
        <w:spacing w:before="0" w:beforeAutospacing="0" w:after="0" w:afterAutospacing="0"/>
        <w:rPr>
          <w:rFonts w:ascii="inherit" w:hAnsi="inherit"/>
          <w:b/>
          <w:color w:val="666666"/>
          <w:u w:val="single"/>
        </w:rPr>
      </w:pPr>
    </w:p>
    <w:p w:rsidR="001D5623" w:rsidRDefault="007C1923" w:rsidP="001D5623">
      <w:pPr>
        <w:pStyle w:val="brz-css-tdvfd"/>
        <w:shd w:val="clear" w:color="auto" w:fill="FFFFFF"/>
        <w:spacing w:before="0" w:beforeAutospacing="0" w:after="0" w:afterAutospacing="0" w:line="360" w:lineRule="auto"/>
        <w:jc w:val="both"/>
        <w:rPr>
          <w:rFonts w:ascii="Arial" w:hAnsi="Arial" w:cs="Arial"/>
          <w:color w:val="666666"/>
        </w:rPr>
      </w:pPr>
      <w:r w:rsidRPr="001D5623">
        <w:rPr>
          <w:rFonts w:ascii="Arial" w:hAnsi="Arial" w:cs="Arial"/>
          <w:b/>
          <w:color w:val="666666"/>
          <w:u w:val="single"/>
        </w:rPr>
        <w:t>Derecho de las Familias:</w:t>
      </w:r>
      <w:r w:rsidRPr="001D5623">
        <w:rPr>
          <w:rFonts w:ascii="Arial" w:hAnsi="Arial" w:cs="Arial"/>
          <w:color w:val="666666"/>
        </w:rPr>
        <w:t xml:space="preserve"> </w:t>
      </w:r>
    </w:p>
    <w:p w:rsidR="00A00A32" w:rsidRPr="00A00A32" w:rsidRDefault="001D5623" w:rsidP="00A00A32">
      <w:pPr>
        <w:pStyle w:val="brz-css-fgszj"/>
        <w:shd w:val="clear" w:color="auto" w:fill="FFFFFF"/>
        <w:spacing w:before="0" w:beforeAutospacing="0" w:after="0" w:afterAutospacing="0" w:line="360" w:lineRule="auto"/>
        <w:jc w:val="both"/>
        <w:rPr>
          <w:rFonts w:ascii="Arial" w:hAnsi="Arial" w:cs="Arial"/>
          <w:color w:val="000000"/>
        </w:rPr>
      </w:pPr>
      <w:r w:rsidRPr="00A00A32">
        <w:rPr>
          <w:rFonts w:ascii="Arial" w:hAnsi="Arial" w:cs="Arial"/>
          <w:color w:val="666666"/>
        </w:rPr>
        <w:t>C</w:t>
      </w:r>
      <w:r w:rsidR="007C1923" w:rsidRPr="00A00A32">
        <w:rPr>
          <w:rFonts w:ascii="Arial" w:hAnsi="Arial" w:cs="Arial"/>
          <w:color w:val="666666"/>
        </w:rPr>
        <w:t>oncepto de familia, protección legal, formas de organización familiar. Derecho constitucional y convencional y su impacto en el derecho privado familiar. Acciones de estado.</w:t>
      </w:r>
      <w:r w:rsidRPr="00A00A32">
        <w:rPr>
          <w:rFonts w:ascii="Arial" w:hAnsi="Arial" w:cs="Arial"/>
          <w:color w:val="666666"/>
        </w:rPr>
        <w:t xml:space="preserve"> Principios y nociones generales sobre los procesos de familia. </w:t>
      </w:r>
      <w:r w:rsidR="00F759AF" w:rsidRPr="00A00A32">
        <w:rPr>
          <w:rFonts w:ascii="Arial" w:hAnsi="Arial" w:cs="Arial"/>
          <w:color w:val="666666"/>
        </w:rPr>
        <w:t>El proceso de familia. Principios generales y particulares</w:t>
      </w:r>
      <w:r w:rsidR="00467FF8">
        <w:rPr>
          <w:rFonts w:ascii="Arial" w:hAnsi="Arial" w:cs="Arial"/>
          <w:color w:val="666666"/>
        </w:rPr>
        <w:t>. P</w:t>
      </w:r>
      <w:r w:rsidR="00F759AF" w:rsidRPr="00A00A32">
        <w:rPr>
          <w:rFonts w:ascii="Arial" w:hAnsi="Arial" w:cs="Arial"/>
          <w:color w:val="666666"/>
        </w:rPr>
        <w:t xml:space="preserve">lazos procesales, preclusión, caducidad de instancia, cuestiones probatorias, prueba de difícil y prolongada producción, rebeldía, ejecuciones y procesos especiales. Incidentes: tramitación y términos procesales. Problema que plantea la </w:t>
      </w:r>
      <w:proofErr w:type="spellStart"/>
      <w:r w:rsidR="00F759AF" w:rsidRPr="00A00A32">
        <w:rPr>
          <w:rFonts w:ascii="Arial" w:hAnsi="Arial" w:cs="Arial"/>
          <w:color w:val="666666"/>
        </w:rPr>
        <w:t>ordinarización</w:t>
      </w:r>
      <w:proofErr w:type="spellEnd"/>
      <w:r w:rsidR="00F759AF" w:rsidRPr="00A00A32">
        <w:rPr>
          <w:rFonts w:ascii="Arial" w:hAnsi="Arial" w:cs="Arial"/>
          <w:color w:val="666666"/>
        </w:rPr>
        <w:t xml:space="preserve"> de los incidentes.</w:t>
      </w:r>
      <w:r w:rsidR="00A00A32" w:rsidRPr="00A00A32">
        <w:rPr>
          <w:rFonts w:ascii="Arial" w:hAnsi="Arial" w:cs="Arial"/>
          <w:color w:val="666666"/>
        </w:rPr>
        <w:t xml:space="preserve"> Responsabilidad civil en el Derecho de</w:t>
      </w:r>
      <w:r w:rsidR="00A00A32">
        <w:rPr>
          <w:rFonts w:ascii="Arial" w:hAnsi="Arial" w:cs="Arial"/>
          <w:color w:val="666666"/>
        </w:rPr>
        <w:t xml:space="preserve"> las </w:t>
      </w:r>
      <w:r w:rsidR="00A00A32" w:rsidRPr="00A00A32">
        <w:rPr>
          <w:rFonts w:ascii="Arial" w:hAnsi="Arial" w:cs="Arial"/>
          <w:color w:val="666666"/>
        </w:rPr>
        <w:t>Familia</w:t>
      </w:r>
      <w:r w:rsidR="00A00A32">
        <w:rPr>
          <w:rFonts w:ascii="Arial" w:hAnsi="Arial" w:cs="Arial"/>
          <w:color w:val="666666"/>
        </w:rPr>
        <w:t>s</w:t>
      </w:r>
      <w:r w:rsidR="00A00A32" w:rsidRPr="00A00A32">
        <w:rPr>
          <w:rFonts w:ascii="Arial" w:hAnsi="Arial" w:cs="Arial"/>
          <w:color w:val="666666"/>
        </w:rPr>
        <w:t xml:space="preserve">. Daño patrimonial y </w:t>
      </w:r>
      <w:proofErr w:type="spellStart"/>
      <w:r w:rsidR="00A00A32" w:rsidRPr="00A00A32">
        <w:rPr>
          <w:rFonts w:ascii="Arial" w:hAnsi="Arial" w:cs="Arial"/>
          <w:color w:val="666666"/>
        </w:rPr>
        <w:t>extrapatrimonial</w:t>
      </w:r>
      <w:proofErr w:type="spellEnd"/>
      <w:r w:rsidR="00A00A32" w:rsidRPr="00A00A32">
        <w:rPr>
          <w:rFonts w:ascii="Arial" w:hAnsi="Arial" w:cs="Arial"/>
          <w:color w:val="666666"/>
        </w:rPr>
        <w:t>. Supuestos en que procede. Alcance. Determinación. La perspectiva de género en el derecho civil y especialmente en materia de daños y perjuicios derivados de las relaciones de familia.</w:t>
      </w:r>
    </w:p>
    <w:p w:rsidR="00F759AF" w:rsidRPr="00A00A32" w:rsidRDefault="00F759AF" w:rsidP="00A00A32">
      <w:pPr>
        <w:pStyle w:val="brz-css-wkebn"/>
        <w:shd w:val="clear" w:color="auto" w:fill="FFFFFF"/>
        <w:spacing w:before="0" w:beforeAutospacing="0" w:after="0" w:afterAutospacing="0" w:line="360" w:lineRule="auto"/>
        <w:jc w:val="both"/>
        <w:rPr>
          <w:rFonts w:ascii="Arial" w:hAnsi="Arial" w:cs="Arial"/>
          <w:color w:val="000000"/>
        </w:rPr>
      </w:pPr>
    </w:p>
    <w:p w:rsidR="007C1923" w:rsidRDefault="007C1923" w:rsidP="007C1923">
      <w:pPr>
        <w:pStyle w:val="brz-css-hiwtp"/>
        <w:shd w:val="clear" w:color="auto" w:fill="FFFFFF"/>
        <w:spacing w:before="0" w:beforeAutospacing="0" w:after="0" w:afterAutospacing="0"/>
        <w:rPr>
          <w:color w:val="000000"/>
        </w:rPr>
      </w:pPr>
    </w:p>
    <w:p w:rsidR="001D5623" w:rsidRDefault="007C1923" w:rsidP="001D5623">
      <w:pPr>
        <w:pStyle w:val="brz-css-hvnbt"/>
        <w:shd w:val="clear" w:color="auto" w:fill="FFFFFF"/>
        <w:spacing w:before="0" w:beforeAutospacing="0" w:after="0" w:afterAutospacing="0" w:line="360" w:lineRule="auto"/>
        <w:jc w:val="both"/>
        <w:rPr>
          <w:rFonts w:ascii="inherit" w:hAnsi="inherit"/>
          <w:color w:val="666666"/>
        </w:rPr>
      </w:pPr>
      <w:r w:rsidRPr="001D5623">
        <w:rPr>
          <w:rFonts w:ascii="Arial" w:hAnsi="Arial" w:cs="Arial"/>
          <w:b/>
          <w:color w:val="666666"/>
          <w:u w:val="single"/>
        </w:rPr>
        <w:t>Filiación</w:t>
      </w:r>
      <w:r w:rsidR="001D5623">
        <w:rPr>
          <w:rFonts w:ascii="inherit" w:hAnsi="inherit"/>
          <w:b/>
          <w:color w:val="666666"/>
          <w:u w:val="single"/>
        </w:rPr>
        <w:t>:</w:t>
      </w:r>
      <w:r>
        <w:rPr>
          <w:rFonts w:ascii="inherit" w:hAnsi="inherit"/>
          <w:color w:val="666666"/>
        </w:rPr>
        <w:t xml:space="preserve"> </w:t>
      </w:r>
    </w:p>
    <w:p w:rsidR="007C1923" w:rsidRPr="001D5623" w:rsidRDefault="001D5623" w:rsidP="001D5623">
      <w:pPr>
        <w:pStyle w:val="brz-css-hvnbt"/>
        <w:shd w:val="clear" w:color="auto" w:fill="FFFFFF"/>
        <w:spacing w:before="0" w:beforeAutospacing="0" w:after="0" w:afterAutospacing="0" w:line="360" w:lineRule="auto"/>
        <w:jc w:val="both"/>
        <w:rPr>
          <w:rFonts w:ascii="Arial" w:hAnsi="Arial" w:cs="Arial"/>
          <w:color w:val="000000"/>
        </w:rPr>
      </w:pPr>
      <w:r>
        <w:rPr>
          <w:rFonts w:ascii="Arial" w:hAnsi="Arial" w:cs="Arial"/>
          <w:color w:val="666666"/>
        </w:rPr>
        <w:t>Procesos de filiación.</w:t>
      </w:r>
      <w:r w:rsidRPr="001D5623">
        <w:rPr>
          <w:rFonts w:ascii="Arial" w:hAnsi="Arial" w:cs="Arial"/>
          <w:color w:val="666666"/>
        </w:rPr>
        <w:t xml:space="preserve"> </w:t>
      </w:r>
      <w:r w:rsidR="007C1923" w:rsidRPr="001D5623">
        <w:rPr>
          <w:rFonts w:ascii="Arial" w:hAnsi="Arial" w:cs="Arial"/>
          <w:color w:val="666666"/>
        </w:rPr>
        <w:t xml:space="preserve">Regulación legal: derecho a la identidad en el derecho constitucional y en el </w:t>
      </w:r>
      <w:proofErr w:type="spellStart"/>
      <w:r w:rsidR="007C1923" w:rsidRPr="001D5623">
        <w:rPr>
          <w:rFonts w:ascii="Arial" w:hAnsi="Arial" w:cs="Arial"/>
          <w:color w:val="666666"/>
        </w:rPr>
        <w:t>CCyC</w:t>
      </w:r>
      <w:r w:rsidRPr="001D5623">
        <w:rPr>
          <w:rFonts w:ascii="Arial" w:hAnsi="Arial" w:cs="Arial"/>
          <w:color w:val="666666"/>
        </w:rPr>
        <w:t>N</w:t>
      </w:r>
      <w:proofErr w:type="spellEnd"/>
      <w:r w:rsidR="007C1923" w:rsidRPr="001D5623">
        <w:rPr>
          <w:rFonts w:ascii="Arial" w:hAnsi="Arial" w:cs="Arial"/>
          <w:color w:val="666666"/>
        </w:rPr>
        <w:t>.</w:t>
      </w:r>
      <w:r w:rsidR="00C74E78" w:rsidRPr="00C74E78">
        <w:rPr>
          <w:rFonts w:ascii="inherit" w:hAnsi="inherit"/>
          <w:color w:val="666666"/>
        </w:rPr>
        <w:t xml:space="preserve"> </w:t>
      </w:r>
      <w:r w:rsidR="00C74E78" w:rsidRPr="00C74E78">
        <w:rPr>
          <w:rFonts w:ascii="Arial" w:hAnsi="Arial" w:cs="Arial"/>
          <w:color w:val="666666"/>
        </w:rPr>
        <w:t>Principio de estabilidad de las filiaciones, el derecho a la identidad (estático y dinámico) y el principio del interés superior del niño.</w:t>
      </w:r>
      <w:r w:rsidR="00C74E78">
        <w:rPr>
          <w:rFonts w:ascii="Arial" w:hAnsi="Arial" w:cs="Arial"/>
          <w:color w:val="666666"/>
        </w:rPr>
        <w:t xml:space="preserve"> Acciones de Filiación. Tipos, plazos, legitimación activa y pasiva.</w:t>
      </w:r>
      <w:r>
        <w:rPr>
          <w:rFonts w:ascii="Arial" w:hAnsi="Arial" w:cs="Arial"/>
          <w:color w:val="666666"/>
        </w:rPr>
        <w:t xml:space="preserve"> </w:t>
      </w:r>
      <w:r w:rsidR="00831C90" w:rsidRPr="001D5623">
        <w:rPr>
          <w:rFonts w:ascii="Arial" w:hAnsi="Arial" w:cs="Arial"/>
          <w:color w:val="666666"/>
        </w:rPr>
        <w:t>Tipos</w:t>
      </w:r>
      <w:r w:rsidR="007C1923" w:rsidRPr="001D5623">
        <w:rPr>
          <w:rFonts w:ascii="Arial" w:hAnsi="Arial" w:cs="Arial"/>
          <w:color w:val="666666"/>
        </w:rPr>
        <w:t>: biológica, adoptiva y por técnicas de reproducción humana asistida. Acciones de protección del derecho a la identidad</w:t>
      </w:r>
      <w:r w:rsidR="00831C90" w:rsidRPr="001D5623">
        <w:rPr>
          <w:rFonts w:ascii="Arial" w:hAnsi="Arial" w:cs="Arial"/>
          <w:color w:val="666666"/>
        </w:rPr>
        <w:t>. Adopción Tipos.</w:t>
      </w:r>
      <w:r w:rsidR="007C1923" w:rsidRPr="001D5623">
        <w:rPr>
          <w:rFonts w:ascii="Arial" w:hAnsi="Arial" w:cs="Arial"/>
          <w:color w:val="666666"/>
        </w:rPr>
        <w:t xml:space="preserve"> Declaración</w:t>
      </w:r>
      <w:r w:rsidRPr="001D5623">
        <w:rPr>
          <w:rFonts w:ascii="Arial" w:hAnsi="Arial" w:cs="Arial"/>
          <w:color w:val="666666"/>
        </w:rPr>
        <w:t xml:space="preserve"> judicial de la situación de </w:t>
      </w:r>
      <w:proofErr w:type="spellStart"/>
      <w:r w:rsidR="007C1923" w:rsidRPr="001D5623">
        <w:rPr>
          <w:rFonts w:ascii="Arial" w:hAnsi="Arial" w:cs="Arial"/>
          <w:color w:val="666666"/>
        </w:rPr>
        <w:t>adoptabilidad</w:t>
      </w:r>
      <w:proofErr w:type="spellEnd"/>
      <w:r w:rsidR="007C1923" w:rsidRPr="001D5623">
        <w:rPr>
          <w:rFonts w:ascii="Arial" w:hAnsi="Arial" w:cs="Arial"/>
          <w:color w:val="666666"/>
        </w:rPr>
        <w:t>, vinculación con las medidas de protección de derechos</w:t>
      </w:r>
      <w:r>
        <w:rPr>
          <w:rFonts w:ascii="Arial" w:hAnsi="Arial" w:cs="Arial"/>
          <w:color w:val="666666"/>
        </w:rPr>
        <w:t>. Medidas de protección en estado de vulnerabilidad</w:t>
      </w:r>
      <w:r w:rsidR="00467FF8">
        <w:rPr>
          <w:rFonts w:ascii="Arial" w:hAnsi="Arial" w:cs="Arial"/>
          <w:color w:val="666666"/>
        </w:rPr>
        <w:t>, guarda</w:t>
      </w:r>
      <w:r w:rsidR="003B4F87">
        <w:rPr>
          <w:rFonts w:ascii="Arial" w:hAnsi="Arial" w:cs="Arial"/>
          <w:color w:val="666666"/>
        </w:rPr>
        <w:t>, tutela, guarda de hecho.</w:t>
      </w:r>
      <w:r w:rsidR="007C1923" w:rsidRPr="001D5623">
        <w:rPr>
          <w:rFonts w:ascii="Arial" w:hAnsi="Arial" w:cs="Arial"/>
          <w:color w:val="666666"/>
        </w:rPr>
        <w:t xml:space="preserve"> Principios rectores y jurisprudencia provincial, nacional e internacional en la materia.</w:t>
      </w:r>
      <w:r>
        <w:rPr>
          <w:rFonts w:ascii="Arial" w:hAnsi="Arial" w:cs="Arial"/>
          <w:color w:val="666666"/>
        </w:rPr>
        <w:t xml:space="preserve"> Principios de la niñez y </w:t>
      </w:r>
      <w:r w:rsidR="00642ACB">
        <w:rPr>
          <w:rFonts w:ascii="Arial" w:hAnsi="Arial" w:cs="Arial"/>
          <w:color w:val="666666"/>
        </w:rPr>
        <w:t>vulnerabilidad</w:t>
      </w:r>
      <w:r w:rsidR="00642ACB" w:rsidRPr="00C74E78">
        <w:rPr>
          <w:rFonts w:ascii="inherit" w:hAnsi="inherit"/>
          <w:color w:val="666666"/>
        </w:rPr>
        <w:t>.</w:t>
      </w:r>
    </w:p>
    <w:p w:rsidR="007C1923" w:rsidRDefault="007C1923" w:rsidP="007C1923">
      <w:pPr>
        <w:pStyle w:val="brz-css-qbupx"/>
        <w:shd w:val="clear" w:color="auto" w:fill="FFFFFF"/>
        <w:spacing w:before="0" w:beforeAutospacing="0" w:after="0" w:afterAutospacing="0"/>
        <w:rPr>
          <w:color w:val="000000"/>
        </w:rPr>
      </w:pPr>
    </w:p>
    <w:p w:rsidR="007C1923" w:rsidRDefault="007C1923" w:rsidP="007C1923">
      <w:pPr>
        <w:pStyle w:val="brz-css-qhzlb"/>
        <w:shd w:val="clear" w:color="auto" w:fill="FFFFFF"/>
        <w:spacing w:before="0" w:beforeAutospacing="0" w:after="0" w:afterAutospacing="0"/>
        <w:rPr>
          <w:color w:val="000000"/>
        </w:rPr>
      </w:pPr>
    </w:p>
    <w:p w:rsidR="001D5623" w:rsidRPr="00F759AF" w:rsidRDefault="007C1923" w:rsidP="00F759AF">
      <w:pPr>
        <w:pStyle w:val="brz-css-mxcmb"/>
        <w:shd w:val="clear" w:color="auto" w:fill="FFFFFF"/>
        <w:spacing w:before="0" w:beforeAutospacing="0" w:after="0" w:afterAutospacing="0" w:line="360" w:lineRule="auto"/>
        <w:jc w:val="both"/>
        <w:rPr>
          <w:rFonts w:ascii="Arial" w:hAnsi="Arial" w:cs="Arial"/>
          <w:color w:val="666666"/>
        </w:rPr>
      </w:pPr>
      <w:r w:rsidRPr="00F759AF">
        <w:rPr>
          <w:rFonts w:ascii="Arial" w:hAnsi="Arial" w:cs="Arial"/>
          <w:b/>
          <w:color w:val="666666"/>
          <w:u w:val="single"/>
        </w:rPr>
        <w:t>Leyes de protección integral de la niñez, adolescencia y familia</w:t>
      </w:r>
      <w:r w:rsidR="001D5623" w:rsidRPr="00F759AF">
        <w:rPr>
          <w:rFonts w:ascii="Arial" w:hAnsi="Arial" w:cs="Arial"/>
          <w:color w:val="666666"/>
        </w:rPr>
        <w:t>:</w:t>
      </w:r>
      <w:r w:rsidRPr="00F759AF">
        <w:rPr>
          <w:rFonts w:ascii="Arial" w:hAnsi="Arial" w:cs="Arial"/>
          <w:color w:val="666666"/>
        </w:rPr>
        <w:t xml:space="preserve"> </w:t>
      </w:r>
    </w:p>
    <w:p w:rsidR="00A00A32" w:rsidRPr="00A00A32" w:rsidRDefault="007C1923" w:rsidP="00A00A32">
      <w:pPr>
        <w:pStyle w:val="brz-css-ejajd"/>
        <w:shd w:val="clear" w:color="auto" w:fill="FFFFFF"/>
        <w:spacing w:before="0" w:beforeAutospacing="0" w:after="0" w:afterAutospacing="0" w:line="360" w:lineRule="auto"/>
        <w:jc w:val="both"/>
        <w:rPr>
          <w:rFonts w:ascii="Arial" w:hAnsi="Arial" w:cs="Arial"/>
          <w:color w:val="000000"/>
        </w:rPr>
      </w:pPr>
      <w:r w:rsidRPr="00A00A32">
        <w:rPr>
          <w:rFonts w:ascii="Arial" w:hAnsi="Arial" w:cs="Arial"/>
          <w:color w:val="666666"/>
        </w:rPr>
        <w:t>Alcances. Competencias. Interacción normativa entre instrumentos jurídicos. Convención Internacional de los Derechos del Niño y leyes inferiores</w:t>
      </w:r>
      <w:proofErr w:type="gramStart"/>
      <w:r w:rsidRPr="00A00A32">
        <w:rPr>
          <w:rFonts w:ascii="Arial" w:hAnsi="Arial" w:cs="Arial"/>
          <w:color w:val="666666"/>
        </w:rPr>
        <w:t>.</w:t>
      </w:r>
      <w:r w:rsidR="00F759AF" w:rsidRPr="00A00A32">
        <w:rPr>
          <w:rFonts w:ascii="Arial" w:hAnsi="Arial" w:cs="Arial"/>
          <w:color w:val="666666"/>
        </w:rPr>
        <w:t>.</w:t>
      </w:r>
      <w:proofErr w:type="gramEnd"/>
      <w:r w:rsidR="00F759AF" w:rsidRPr="00A00A32">
        <w:rPr>
          <w:rFonts w:ascii="Arial" w:hAnsi="Arial" w:cs="Arial"/>
          <w:color w:val="666666"/>
        </w:rPr>
        <w:t xml:space="preserve"> Institucionalización de niños, niñas y adolescentes: Criterios para su procedencia. Los derechos económicos, sociales y culturales en contexto de infancia y adolescencia. Políticas públicas en materia de Niñez, Adolescencia y Familia. Programas y recursos comunitarios con los que cuenta en la Provincia del Chubut.</w:t>
      </w:r>
      <w:r w:rsidR="00A00A32" w:rsidRPr="00A00A32">
        <w:rPr>
          <w:rFonts w:ascii="Arial" w:hAnsi="Arial" w:cs="Arial"/>
        </w:rPr>
        <w:t xml:space="preserve"> </w:t>
      </w:r>
      <w:r w:rsidR="00A00A32" w:rsidRPr="00A00A32">
        <w:rPr>
          <w:rFonts w:ascii="Arial" w:hAnsi="Arial" w:cs="Arial"/>
          <w:color w:val="666666"/>
        </w:rPr>
        <w:t xml:space="preserve">El abogado del niño, niña y adolescente. Procedencia. Su diferencia con el Asesor de Familia y tutor ad </w:t>
      </w:r>
      <w:proofErr w:type="spellStart"/>
      <w:r w:rsidR="00A00A32" w:rsidRPr="00A00A32">
        <w:rPr>
          <w:rFonts w:ascii="Arial" w:hAnsi="Arial" w:cs="Arial"/>
          <w:color w:val="666666"/>
        </w:rPr>
        <w:t>litem</w:t>
      </w:r>
      <w:proofErr w:type="spellEnd"/>
      <w:r w:rsidR="00A00A32" w:rsidRPr="00A00A32">
        <w:rPr>
          <w:rFonts w:ascii="Arial" w:hAnsi="Arial" w:cs="Arial"/>
          <w:color w:val="666666"/>
        </w:rPr>
        <w:t xml:space="preserve">. Régimen procesal: alcance de cada intervención. Casos y forma en que procede su designación. Experiencias locales y nacionales. Derechos personalísimos de los niños, niñas y adolescentes. Representación y asistencia, autonomía progresiva, derecho a ser oído. Derecho a la salud en el </w:t>
      </w:r>
      <w:proofErr w:type="spellStart"/>
      <w:r w:rsidR="00A00A32" w:rsidRPr="00A00A32">
        <w:rPr>
          <w:rFonts w:ascii="Arial" w:hAnsi="Arial" w:cs="Arial"/>
          <w:color w:val="666666"/>
        </w:rPr>
        <w:t>CCyC</w:t>
      </w:r>
      <w:proofErr w:type="spellEnd"/>
      <w:r w:rsidR="00A00A32" w:rsidRPr="00A00A32">
        <w:rPr>
          <w:rFonts w:ascii="Arial" w:hAnsi="Arial" w:cs="Arial"/>
          <w:color w:val="666666"/>
        </w:rPr>
        <w:t xml:space="preserve"> y en la legislación </w:t>
      </w:r>
      <w:proofErr w:type="spellStart"/>
      <w:r w:rsidR="00A00A32" w:rsidRPr="00A00A32">
        <w:rPr>
          <w:rFonts w:ascii="Arial" w:hAnsi="Arial" w:cs="Arial"/>
          <w:color w:val="666666"/>
        </w:rPr>
        <w:t>infraconstitucional</w:t>
      </w:r>
      <w:proofErr w:type="spellEnd"/>
      <w:r w:rsidR="00A00A32" w:rsidRPr="00A00A32">
        <w:rPr>
          <w:rFonts w:ascii="Arial" w:hAnsi="Arial" w:cs="Arial"/>
          <w:color w:val="666666"/>
        </w:rPr>
        <w:t>. Salud sexual y reproductiva.</w:t>
      </w:r>
      <w:r w:rsidR="00642ACB">
        <w:rPr>
          <w:rFonts w:ascii="Arial" w:hAnsi="Arial" w:cs="Arial"/>
          <w:color w:val="666666"/>
        </w:rPr>
        <w:t xml:space="preserve"> Jurisprudencia con perspectiva de la niñez</w:t>
      </w:r>
    </w:p>
    <w:p w:rsidR="007C1923" w:rsidRPr="001D5623" w:rsidRDefault="007C1923" w:rsidP="001D5623">
      <w:pPr>
        <w:pStyle w:val="brz-css-ejfsd"/>
        <w:shd w:val="clear" w:color="auto" w:fill="FFFFFF"/>
        <w:spacing w:before="0" w:beforeAutospacing="0" w:after="0" w:afterAutospacing="0" w:line="360" w:lineRule="auto"/>
        <w:rPr>
          <w:rFonts w:ascii="Arial" w:hAnsi="Arial" w:cs="Arial"/>
          <w:color w:val="000000"/>
        </w:rPr>
      </w:pPr>
    </w:p>
    <w:p w:rsidR="007C1923" w:rsidRPr="001D5623" w:rsidRDefault="007C1923" w:rsidP="001D5623">
      <w:pPr>
        <w:pStyle w:val="brz-css-afhaz"/>
        <w:shd w:val="clear" w:color="auto" w:fill="FFFFFF"/>
        <w:spacing w:before="0" w:beforeAutospacing="0" w:after="0" w:afterAutospacing="0" w:line="360" w:lineRule="auto"/>
        <w:rPr>
          <w:rFonts w:ascii="Arial" w:hAnsi="Arial" w:cs="Arial"/>
          <w:color w:val="000000"/>
        </w:rPr>
      </w:pPr>
    </w:p>
    <w:p w:rsidR="007C1923" w:rsidRPr="001D5623" w:rsidRDefault="00467FF8" w:rsidP="00A00A32">
      <w:pPr>
        <w:pStyle w:val="brz-css-wdzie"/>
        <w:shd w:val="clear" w:color="auto" w:fill="FFFFFF"/>
        <w:spacing w:before="0" w:beforeAutospacing="0" w:after="0" w:afterAutospacing="0" w:line="360" w:lineRule="auto"/>
        <w:jc w:val="both"/>
        <w:rPr>
          <w:rFonts w:ascii="Arial" w:hAnsi="Arial" w:cs="Arial"/>
          <w:color w:val="000000"/>
        </w:rPr>
      </w:pPr>
      <w:r>
        <w:rPr>
          <w:rFonts w:ascii="Arial" w:hAnsi="Arial" w:cs="Arial"/>
          <w:b/>
          <w:color w:val="666666"/>
          <w:u w:val="single"/>
        </w:rPr>
        <w:t xml:space="preserve">Matrimonio. Divorcio. </w:t>
      </w:r>
      <w:r w:rsidR="007C1923" w:rsidRPr="001D5623">
        <w:rPr>
          <w:rFonts w:ascii="Arial" w:hAnsi="Arial" w:cs="Arial"/>
          <w:b/>
          <w:color w:val="666666"/>
          <w:u w:val="single"/>
        </w:rPr>
        <w:t>Regímenes de bienes del matrimonio</w:t>
      </w:r>
      <w:r w:rsidR="007C1923" w:rsidRPr="001D5623">
        <w:rPr>
          <w:rFonts w:ascii="Arial" w:hAnsi="Arial" w:cs="Arial"/>
          <w:color w:val="666666"/>
        </w:rPr>
        <w:t>.</w:t>
      </w:r>
      <w:r w:rsidR="006F4EFB" w:rsidRPr="006F4EFB">
        <w:rPr>
          <w:rFonts w:ascii="Arial" w:hAnsi="Arial" w:cs="Arial"/>
          <w:color w:val="666666"/>
        </w:rPr>
        <w:t xml:space="preserve"> </w:t>
      </w:r>
      <w:r w:rsidR="006F4EFB" w:rsidRPr="00A00A32">
        <w:rPr>
          <w:rFonts w:ascii="Arial" w:hAnsi="Arial" w:cs="Arial"/>
          <w:color w:val="666666"/>
        </w:rPr>
        <w:t xml:space="preserve">Matrimonio y Uniones </w:t>
      </w:r>
      <w:proofErr w:type="spellStart"/>
      <w:r w:rsidR="006F4EFB" w:rsidRPr="00A00A32">
        <w:rPr>
          <w:rFonts w:ascii="Arial" w:hAnsi="Arial" w:cs="Arial"/>
          <w:color w:val="666666"/>
        </w:rPr>
        <w:t>convivenciales</w:t>
      </w:r>
      <w:proofErr w:type="spellEnd"/>
      <w:r w:rsidR="006F4EFB" w:rsidRPr="00A00A32">
        <w:rPr>
          <w:rFonts w:ascii="Arial" w:hAnsi="Arial" w:cs="Arial"/>
          <w:color w:val="666666"/>
        </w:rPr>
        <w:t>: diferencias y disposiciones comunes. Requisitos para su constitución, y su disolución. Impedimentos. Oposición a la celebración del matrimonio: supuestos y trámite.</w:t>
      </w:r>
      <w:r w:rsidR="006F4EFB">
        <w:rPr>
          <w:rFonts w:ascii="Arial" w:hAnsi="Arial" w:cs="Arial"/>
          <w:color w:val="666666"/>
        </w:rPr>
        <w:t xml:space="preserve"> </w:t>
      </w:r>
      <w:r w:rsidR="006F4EFB" w:rsidRPr="00A00A32">
        <w:rPr>
          <w:rFonts w:ascii="Arial" w:hAnsi="Arial" w:cs="Arial"/>
          <w:color w:val="666666"/>
        </w:rPr>
        <w:t>Efectos personales y patrimoniales. Pactos. Convenios. Nulidad del matrimonio: efectos.</w:t>
      </w:r>
      <w:r w:rsidR="006F4EFB" w:rsidRPr="00A00A32">
        <w:t xml:space="preserve"> </w:t>
      </w:r>
      <w:r w:rsidR="006F4EFB" w:rsidRPr="00A00A32">
        <w:rPr>
          <w:rFonts w:ascii="Arial" w:hAnsi="Arial" w:cs="Arial"/>
          <w:color w:val="666666"/>
        </w:rPr>
        <w:t>Disolución del régimen patrimonial matrimonial. La separación de hecho: alcances y supuestos.</w:t>
      </w:r>
      <w:r w:rsidR="006F4EFB">
        <w:rPr>
          <w:rFonts w:ascii="Arial" w:hAnsi="Arial" w:cs="Arial"/>
          <w:color w:val="666666"/>
        </w:rPr>
        <w:t xml:space="preserve"> </w:t>
      </w:r>
      <w:r w:rsidR="007C1923" w:rsidRPr="001D5623">
        <w:rPr>
          <w:rFonts w:ascii="Arial" w:hAnsi="Arial" w:cs="Arial"/>
          <w:color w:val="666666"/>
        </w:rPr>
        <w:t xml:space="preserve"> Contratos entre cónyuges. </w:t>
      </w:r>
      <w:r w:rsidR="006F4EFB">
        <w:rPr>
          <w:rFonts w:ascii="Arial" w:hAnsi="Arial" w:cs="Arial"/>
          <w:color w:val="666666"/>
        </w:rPr>
        <w:t xml:space="preserve">Divorcio. </w:t>
      </w:r>
      <w:r w:rsidR="00642ACB">
        <w:rPr>
          <w:rFonts w:ascii="Arial" w:hAnsi="Arial" w:cs="Arial"/>
          <w:color w:val="666666"/>
        </w:rPr>
        <w:t>Efectos. Convenio Regulador. L</w:t>
      </w:r>
      <w:r w:rsidR="007C1923" w:rsidRPr="001D5623">
        <w:rPr>
          <w:rFonts w:ascii="Arial" w:hAnsi="Arial" w:cs="Arial"/>
          <w:color w:val="666666"/>
        </w:rPr>
        <w:t>iquidación y partición de la comunidad. Deudas y cargas. Responsabilidad. Convenciones matrimoniales. Forma. Modificación: efectos. Las donaciones matrimoniales: límites y efectos.</w:t>
      </w:r>
      <w:r w:rsidR="00A00A32" w:rsidRPr="00A00A32">
        <w:t xml:space="preserve"> </w:t>
      </w:r>
      <w:r w:rsidR="00A00A32" w:rsidRPr="00A00A32">
        <w:rPr>
          <w:rFonts w:ascii="Arial" w:hAnsi="Arial" w:cs="Arial"/>
          <w:color w:val="666666"/>
        </w:rPr>
        <w:t xml:space="preserve">El caso del art. 480 y sus distintas interpretaciones. Pautas de calificación de los bienes. Enumeración y análisis. Soluciones del Código Civil y Comercial: las recompensas. Prueba del carácter de los bienes. Gestión de los bienes en la comunidad. Asentimiento del cónyuge no titular y sus promesas. Bienes de titularidad incierta. Gestión por un cónyuge de los bienes de titularidad del otro. Mandato de administración y disposición entre cónyuges. Límites. Responsabilidad por deudas. </w:t>
      </w:r>
    </w:p>
    <w:p w:rsidR="00F759AF" w:rsidRDefault="00F759AF" w:rsidP="001D5623">
      <w:pPr>
        <w:pStyle w:val="brz-css-gyejs"/>
        <w:shd w:val="clear" w:color="auto" w:fill="FFFFFF"/>
        <w:spacing w:before="0" w:beforeAutospacing="0" w:after="0" w:afterAutospacing="0" w:line="360" w:lineRule="auto"/>
        <w:rPr>
          <w:rFonts w:ascii="Arial" w:hAnsi="Arial" w:cs="Arial"/>
          <w:color w:val="000000"/>
        </w:rPr>
      </w:pPr>
    </w:p>
    <w:p w:rsidR="00F759AF" w:rsidRPr="001D5623" w:rsidRDefault="007C1923" w:rsidP="00F759AF">
      <w:pPr>
        <w:pStyle w:val="brz-css-ibjzq"/>
        <w:shd w:val="clear" w:color="auto" w:fill="FFFFFF"/>
        <w:spacing w:before="0" w:beforeAutospacing="0" w:after="0" w:afterAutospacing="0" w:line="360" w:lineRule="auto"/>
        <w:jc w:val="both"/>
        <w:rPr>
          <w:rFonts w:ascii="Arial" w:hAnsi="Arial" w:cs="Arial"/>
          <w:color w:val="000000"/>
        </w:rPr>
      </w:pPr>
      <w:r w:rsidRPr="001D5623">
        <w:rPr>
          <w:rFonts w:ascii="Arial" w:hAnsi="Arial" w:cs="Arial"/>
          <w:color w:val="666666"/>
        </w:rPr>
        <w:t xml:space="preserve"> </w:t>
      </w:r>
      <w:r w:rsidRPr="00F759AF">
        <w:rPr>
          <w:rFonts w:ascii="Arial" w:hAnsi="Arial" w:cs="Arial"/>
          <w:b/>
          <w:color w:val="666666"/>
          <w:u w:val="single"/>
        </w:rPr>
        <w:t>Responsabilidad parental</w:t>
      </w:r>
      <w:r w:rsidR="006F4EFB">
        <w:rPr>
          <w:rFonts w:ascii="Arial" w:hAnsi="Arial" w:cs="Arial"/>
          <w:color w:val="666666"/>
        </w:rPr>
        <w:t>: T</w:t>
      </w:r>
      <w:r w:rsidRPr="00F759AF">
        <w:rPr>
          <w:rFonts w:ascii="Arial" w:hAnsi="Arial" w:cs="Arial"/>
          <w:color w:val="666666"/>
        </w:rPr>
        <w:t xml:space="preserve">itularidad, ejercicio y cuidado. Principios que rigen la institución. Alcance y regulación de la </w:t>
      </w:r>
      <w:proofErr w:type="spellStart"/>
      <w:r w:rsidRPr="00F759AF">
        <w:rPr>
          <w:rFonts w:ascii="Arial" w:hAnsi="Arial" w:cs="Arial"/>
          <w:color w:val="666666"/>
        </w:rPr>
        <w:t>coparentalidad</w:t>
      </w:r>
      <w:proofErr w:type="spellEnd"/>
      <w:r w:rsidRPr="00F759AF">
        <w:rPr>
          <w:rFonts w:ascii="Arial" w:hAnsi="Arial" w:cs="Arial"/>
          <w:color w:val="666666"/>
        </w:rPr>
        <w:t>.</w:t>
      </w:r>
      <w:r w:rsidR="001D5623" w:rsidRPr="00F759AF">
        <w:rPr>
          <w:rFonts w:ascii="Arial" w:hAnsi="Arial" w:cs="Arial"/>
          <w:color w:val="666666"/>
        </w:rPr>
        <w:t xml:space="preserve"> </w:t>
      </w:r>
      <w:r w:rsidRPr="00F759AF">
        <w:rPr>
          <w:rFonts w:ascii="Arial" w:hAnsi="Arial" w:cs="Arial"/>
          <w:color w:val="666666"/>
        </w:rPr>
        <w:t>Delegación. La figura del progenitor afín. Regímenes comunicacionales entre parientes. Suspensión y Privación de la responsabilidad parental. Supuestos.</w:t>
      </w:r>
      <w:r w:rsidR="00F759AF" w:rsidRPr="00F759AF">
        <w:rPr>
          <w:rFonts w:ascii="Arial" w:hAnsi="Arial" w:cs="Arial"/>
          <w:color w:val="666666"/>
        </w:rPr>
        <w:t xml:space="preserve"> Alimentos a los hijos. Legitimación activa y pasiva. Caducidad. Forma de la prestación alimentaria. Contribución de los parientes de igual grado. Cuantía de la prestación alimentaria. Cesación de los alimentos. El caso específico de la obligación alimentaria de los abuelos.</w:t>
      </w:r>
      <w:r w:rsidR="00A00A32" w:rsidRPr="00A00A32">
        <w:t xml:space="preserve"> </w:t>
      </w:r>
      <w:r w:rsidR="00A00A32" w:rsidRPr="00A00A32">
        <w:rPr>
          <w:rFonts w:ascii="Arial" w:hAnsi="Arial" w:cs="Arial"/>
          <w:color w:val="666666"/>
        </w:rPr>
        <w:t xml:space="preserve">La </w:t>
      </w:r>
      <w:proofErr w:type="spellStart"/>
      <w:r w:rsidR="00A00A32" w:rsidRPr="00A00A32">
        <w:rPr>
          <w:rFonts w:ascii="Arial" w:hAnsi="Arial" w:cs="Arial"/>
          <w:color w:val="666666"/>
        </w:rPr>
        <w:t>socioafectividad</w:t>
      </w:r>
      <w:proofErr w:type="spellEnd"/>
      <w:r w:rsidR="00A00A32" w:rsidRPr="00A00A32">
        <w:rPr>
          <w:rFonts w:ascii="Arial" w:hAnsi="Arial" w:cs="Arial"/>
          <w:color w:val="666666"/>
        </w:rPr>
        <w:t xml:space="preserve"> y su proyección en el derecho de las familias. Aplicación del principio a los supuestos de filiación, uniones </w:t>
      </w:r>
      <w:proofErr w:type="spellStart"/>
      <w:r w:rsidR="00A00A32" w:rsidRPr="00A00A32">
        <w:rPr>
          <w:rFonts w:ascii="Arial" w:hAnsi="Arial" w:cs="Arial"/>
          <w:color w:val="666666"/>
        </w:rPr>
        <w:t>convivenciales</w:t>
      </w:r>
      <w:proofErr w:type="spellEnd"/>
      <w:r w:rsidR="00A00A32" w:rsidRPr="00A00A32">
        <w:rPr>
          <w:rFonts w:ascii="Arial" w:hAnsi="Arial" w:cs="Arial"/>
          <w:color w:val="666666"/>
        </w:rPr>
        <w:t>, respuestas legales del derecho privado y de la seguridad social.</w:t>
      </w:r>
    </w:p>
    <w:p w:rsidR="00F759AF" w:rsidRPr="00F759AF" w:rsidRDefault="00F759AF" w:rsidP="00F759AF">
      <w:pPr>
        <w:pStyle w:val="brz-css-rdqjz"/>
        <w:shd w:val="clear" w:color="auto" w:fill="FFFFFF"/>
        <w:spacing w:before="0" w:beforeAutospacing="0" w:after="0" w:afterAutospacing="0" w:line="360" w:lineRule="auto"/>
        <w:jc w:val="both"/>
        <w:rPr>
          <w:rFonts w:ascii="Arial" w:hAnsi="Arial" w:cs="Arial"/>
          <w:color w:val="000000"/>
        </w:rPr>
      </w:pPr>
    </w:p>
    <w:p w:rsidR="007C1923" w:rsidRDefault="007C1923" w:rsidP="007C1923">
      <w:pPr>
        <w:pStyle w:val="brz-css-yffsg"/>
        <w:shd w:val="clear" w:color="auto" w:fill="FFFFFF"/>
        <w:spacing w:before="0" w:beforeAutospacing="0" w:after="0" w:afterAutospacing="0"/>
        <w:rPr>
          <w:color w:val="000000"/>
        </w:rPr>
      </w:pPr>
    </w:p>
    <w:p w:rsidR="007C1923" w:rsidRPr="00F759AF" w:rsidRDefault="007C1923" w:rsidP="00F759AF">
      <w:pPr>
        <w:pStyle w:val="brz-css-biwex"/>
        <w:shd w:val="clear" w:color="auto" w:fill="FFFFFF"/>
        <w:spacing w:before="0" w:beforeAutospacing="0" w:after="0" w:afterAutospacing="0" w:line="360" w:lineRule="auto"/>
        <w:jc w:val="both"/>
        <w:rPr>
          <w:rFonts w:ascii="Arial" w:hAnsi="Arial" w:cs="Arial"/>
          <w:color w:val="000000"/>
        </w:rPr>
      </w:pPr>
      <w:r w:rsidRPr="00F759AF">
        <w:rPr>
          <w:rFonts w:ascii="Arial" w:hAnsi="Arial" w:cs="Arial"/>
          <w:b/>
          <w:color w:val="666666"/>
        </w:rPr>
        <w:t xml:space="preserve"> </w:t>
      </w:r>
      <w:r w:rsidRPr="00F759AF">
        <w:rPr>
          <w:rFonts w:ascii="Arial" w:hAnsi="Arial" w:cs="Arial"/>
          <w:b/>
          <w:color w:val="666666"/>
          <w:u w:val="single"/>
        </w:rPr>
        <w:t xml:space="preserve">Medidas cautelares y </w:t>
      </w:r>
      <w:proofErr w:type="spellStart"/>
      <w:r w:rsidRPr="00F759AF">
        <w:rPr>
          <w:rFonts w:ascii="Arial" w:hAnsi="Arial" w:cs="Arial"/>
          <w:b/>
          <w:color w:val="666666"/>
          <w:u w:val="single"/>
        </w:rPr>
        <w:t>autosatisfactivas</w:t>
      </w:r>
      <w:proofErr w:type="spellEnd"/>
      <w:r w:rsidRPr="00F759AF">
        <w:rPr>
          <w:rFonts w:ascii="Arial" w:hAnsi="Arial" w:cs="Arial"/>
          <w:color w:val="666666"/>
        </w:rPr>
        <w:t xml:space="preserve">. Los procesos urgentes y los procedimientos Los pactos internacionales. Operatividad. Rol del Juez de Familia en el proceso de </w:t>
      </w:r>
      <w:proofErr w:type="spellStart"/>
      <w:r w:rsidRPr="00F759AF">
        <w:rPr>
          <w:rFonts w:ascii="Arial" w:hAnsi="Arial" w:cs="Arial"/>
          <w:color w:val="666666"/>
        </w:rPr>
        <w:t>efectivización</w:t>
      </w:r>
      <w:proofErr w:type="spellEnd"/>
      <w:r w:rsidRPr="00F759AF">
        <w:rPr>
          <w:rFonts w:ascii="Arial" w:hAnsi="Arial" w:cs="Arial"/>
          <w:color w:val="666666"/>
        </w:rPr>
        <w:t xml:space="preserve"> de los DD.HH.</w:t>
      </w:r>
      <w:r w:rsidR="00A00A32">
        <w:rPr>
          <w:rFonts w:ascii="Arial" w:hAnsi="Arial" w:cs="Arial"/>
          <w:color w:val="666666"/>
        </w:rPr>
        <w:t xml:space="preserve"> Ley de amparo, provincial y nacional. Plazos</w:t>
      </w:r>
      <w:r w:rsidR="006F4EFB">
        <w:rPr>
          <w:rFonts w:ascii="Arial" w:hAnsi="Arial" w:cs="Arial"/>
          <w:color w:val="666666"/>
        </w:rPr>
        <w:t>, procedimiento.</w:t>
      </w:r>
    </w:p>
    <w:p w:rsidR="007C1923" w:rsidRPr="00F759AF" w:rsidRDefault="007C1923" w:rsidP="00F759AF">
      <w:pPr>
        <w:pStyle w:val="brz-css-fcufk"/>
        <w:shd w:val="clear" w:color="auto" w:fill="FFFFFF"/>
        <w:spacing w:before="0" w:beforeAutospacing="0" w:after="0" w:afterAutospacing="0" w:line="360" w:lineRule="auto"/>
        <w:jc w:val="both"/>
        <w:rPr>
          <w:rFonts w:ascii="Arial" w:hAnsi="Arial" w:cs="Arial"/>
          <w:color w:val="000000"/>
        </w:rPr>
      </w:pPr>
    </w:p>
    <w:p w:rsidR="007C1923" w:rsidRPr="00F759AF" w:rsidRDefault="00467FF8" w:rsidP="00F759AF">
      <w:pPr>
        <w:pStyle w:val="brz-css-rtkiu"/>
        <w:shd w:val="clear" w:color="auto" w:fill="FFFFFF"/>
        <w:spacing w:before="0" w:beforeAutospacing="0" w:after="0" w:afterAutospacing="0" w:line="360" w:lineRule="auto"/>
        <w:jc w:val="both"/>
        <w:rPr>
          <w:rFonts w:ascii="Arial" w:hAnsi="Arial" w:cs="Arial"/>
          <w:color w:val="000000"/>
        </w:rPr>
      </w:pPr>
      <w:r>
        <w:rPr>
          <w:rFonts w:ascii="Arial" w:hAnsi="Arial" w:cs="Arial"/>
          <w:b/>
          <w:color w:val="666666"/>
          <w:u w:val="single"/>
        </w:rPr>
        <w:t>La determinación de la capacidad,</w:t>
      </w:r>
      <w:r w:rsidR="007C1923" w:rsidRPr="00F759AF">
        <w:rPr>
          <w:rFonts w:ascii="Arial" w:hAnsi="Arial" w:cs="Arial"/>
          <w:b/>
          <w:color w:val="666666"/>
          <w:u w:val="single"/>
        </w:rPr>
        <w:t xml:space="preserve"> desde el aspecto jurídico, económico y social</w:t>
      </w:r>
      <w:r w:rsidR="007C1923" w:rsidRPr="00F759AF">
        <w:rPr>
          <w:rFonts w:ascii="Arial" w:hAnsi="Arial" w:cs="Arial"/>
          <w:color w:val="666666"/>
        </w:rPr>
        <w:t>. Legislación local, nacional e instrumentos internacionales sobre el tema. Recursos comunitarios. Procesos de determinación de la capacidad jurídica. Convenciones internacionales, normas sustanciales y procesales. Sentencia, alcance, revisión. La cuestión del patrocinio jurídico.</w:t>
      </w:r>
      <w:r w:rsidRPr="00467FF8">
        <w:rPr>
          <w:rFonts w:ascii="Arial" w:hAnsi="Arial" w:cs="Arial"/>
          <w:color w:val="666666"/>
        </w:rPr>
        <w:t xml:space="preserve"> </w:t>
      </w:r>
      <w:r w:rsidRPr="00A00A32">
        <w:rPr>
          <w:rFonts w:ascii="Arial" w:hAnsi="Arial" w:cs="Arial"/>
          <w:color w:val="666666"/>
        </w:rPr>
        <w:t xml:space="preserve">Ley de Salud Mental, art. 26 </w:t>
      </w:r>
      <w:proofErr w:type="spellStart"/>
      <w:r w:rsidRPr="00A00A32">
        <w:rPr>
          <w:rFonts w:ascii="Arial" w:hAnsi="Arial" w:cs="Arial"/>
          <w:color w:val="666666"/>
        </w:rPr>
        <w:t>CCyC</w:t>
      </w:r>
      <w:r>
        <w:rPr>
          <w:rFonts w:ascii="Arial" w:hAnsi="Arial" w:cs="Arial"/>
          <w:color w:val="666666"/>
        </w:rPr>
        <w:t>N</w:t>
      </w:r>
      <w:proofErr w:type="spellEnd"/>
      <w:r w:rsidRPr="00A00A32">
        <w:rPr>
          <w:rFonts w:ascii="Arial" w:hAnsi="Arial" w:cs="Arial"/>
          <w:color w:val="666666"/>
        </w:rPr>
        <w:t xml:space="preserve">, reglas de internación del </w:t>
      </w:r>
      <w:proofErr w:type="spellStart"/>
      <w:r w:rsidRPr="00A00A32">
        <w:rPr>
          <w:rFonts w:ascii="Arial" w:hAnsi="Arial" w:cs="Arial"/>
          <w:color w:val="666666"/>
        </w:rPr>
        <w:t>CCyC</w:t>
      </w:r>
      <w:r>
        <w:rPr>
          <w:rFonts w:ascii="Arial" w:hAnsi="Arial" w:cs="Arial"/>
          <w:color w:val="666666"/>
        </w:rPr>
        <w:t>N</w:t>
      </w:r>
      <w:proofErr w:type="spellEnd"/>
      <w:r w:rsidRPr="00A00A32">
        <w:rPr>
          <w:rFonts w:ascii="Arial" w:hAnsi="Arial" w:cs="Arial"/>
          <w:color w:val="666666"/>
        </w:rPr>
        <w:t>.</w:t>
      </w:r>
    </w:p>
    <w:p w:rsidR="007C1923" w:rsidRDefault="007C1923" w:rsidP="007C1923">
      <w:pPr>
        <w:pStyle w:val="brz-css-smrmh"/>
        <w:shd w:val="clear" w:color="auto" w:fill="FFFFFF"/>
        <w:spacing w:before="0" w:beforeAutospacing="0" w:after="0" w:afterAutospacing="0"/>
        <w:rPr>
          <w:color w:val="000000"/>
        </w:rPr>
      </w:pPr>
    </w:p>
    <w:p w:rsidR="00F759AF" w:rsidRDefault="007C1923" w:rsidP="007C1923">
      <w:pPr>
        <w:pStyle w:val="brz-css-wgzhx"/>
        <w:shd w:val="clear" w:color="auto" w:fill="FFFFFF"/>
        <w:spacing w:before="0" w:beforeAutospacing="0" w:after="0" w:afterAutospacing="0"/>
        <w:rPr>
          <w:rFonts w:ascii="inherit" w:hAnsi="inherit"/>
          <w:color w:val="666666"/>
        </w:rPr>
      </w:pPr>
      <w:r>
        <w:rPr>
          <w:rFonts w:ascii="inherit" w:hAnsi="inherit"/>
          <w:color w:val="666666"/>
        </w:rPr>
        <w:t xml:space="preserve"> </w:t>
      </w:r>
    </w:p>
    <w:p w:rsidR="00F759AF" w:rsidRPr="00F759AF" w:rsidRDefault="007C1923" w:rsidP="00F759AF">
      <w:pPr>
        <w:pStyle w:val="brz-css-ewams"/>
        <w:shd w:val="clear" w:color="auto" w:fill="FFFFFF"/>
        <w:spacing w:before="0" w:beforeAutospacing="0" w:after="0" w:afterAutospacing="0" w:line="360" w:lineRule="auto"/>
        <w:jc w:val="both"/>
        <w:rPr>
          <w:rFonts w:ascii="Arial" w:hAnsi="Arial" w:cs="Arial"/>
          <w:color w:val="000000"/>
        </w:rPr>
      </w:pPr>
      <w:r w:rsidRPr="00F759AF">
        <w:rPr>
          <w:rFonts w:ascii="Arial" w:hAnsi="Arial" w:cs="Arial"/>
          <w:b/>
          <w:color w:val="666666"/>
          <w:u w:val="single"/>
        </w:rPr>
        <w:t>Violencia intrafamiliar y violencia de género</w:t>
      </w:r>
      <w:r w:rsidRPr="00F759AF">
        <w:rPr>
          <w:rFonts w:ascii="Arial" w:hAnsi="Arial" w:cs="Arial"/>
          <w:color w:val="666666"/>
        </w:rPr>
        <w:t>. Régimen jurídico provincial. Enfoque interdisciplinario. Modos de intervención judicial. El sistema jurídico interamericano: pactos, opiniones consultivas, observaciones generales de los comités de seguimiento.</w:t>
      </w:r>
      <w:r w:rsidR="00F759AF" w:rsidRPr="00F759AF">
        <w:rPr>
          <w:rFonts w:ascii="Arial" w:hAnsi="Arial" w:cs="Arial"/>
          <w:color w:val="666666"/>
        </w:rPr>
        <w:t xml:space="preserve"> Perspectiva de género. Ley Micaela. Principio de vulnerabilidad. Derecho a la vivienda. Supuestos. Alcances de la protección legal y sus manifestaciones jurídicas. Género, vivienda y vulnerables.</w:t>
      </w:r>
      <w:r w:rsidR="00642ACB">
        <w:rPr>
          <w:rFonts w:ascii="Arial" w:hAnsi="Arial" w:cs="Arial"/>
          <w:color w:val="666666"/>
        </w:rPr>
        <w:t xml:space="preserve"> Jurisprudencia con perspectiva de género.</w:t>
      </w:r>
    </w:p>
    <w:p w:rsidR="007C1923" w:rsidRDefault="007C1923" w:rsidP="00A00A32">
      <w:pPr>
        <w:pStyle w:val="brz-css-xutkd"/>
        <w:shd w:val="clear" w:color="auto" w:fill="FFFFFF"/>
        <w:spacing w:before="0" w:beforeAutospacing="0" w:after="0" w:afterAutospacing="0"/>
        <w:rPr>
          <w:color w:val="000000"/>
        </w:rPr>
      </w:pPr>
      <w:r>
        <w:rPr>
          <w:rFonts w:ascii="inherit" w:hAnsi="inherit"/>
          <w:color w:val="666666"/>
        </w:rPr>
        <w:t xml:space="preserve"> </w:t>
      </w:r>
    </w:p>
    <w:p w:rsidR="007C1923" w:rsidRDefault="007C1923" w:rsidP="007C1923">
      <w:pPr>
        <w:pStyle w:val="brz-css-qukab"/>
        <w:shd w:val="clear" w:color="auto" w:fill="FFFFFF"/>
        <w:spacing w:before="0" w:beforeAutospacing="0" w:after="0" w:afterAutospacing="0"/>
        <w:rPr>
          <w:color w:val="000000"/>
        </w:rPr>
      </w:pPr>
    </w:p>
    <w:p w:rsidR="007C1923" w:rsidRPr="00A00A32" w:rsidRDefault="007C1923" w:rsidP="00A00A32">
      <w:pPr>
        <w:pStyle w:val="brz-css-ytbid"/>
        <w:shd w:val="clear" w:color="auto" w:fill="FFFFFF"/>
        <w:spacing w:before="0" w:beforeAutospacing="0" w:after="0" w:afterAutospacing="0" w:line="360" w:lineRule="auto"/>
        <w:jc w:val="both"/>
        <w:rPr>
          <w:rFonts w:ascii="Arial" w:hAnsi="Arial" w:cs="Arial"/>
          <w:color w:val="000000"/>
        </w:rPr>
      </w:pPr>
      <w:r w:rsidRPr="00A00A32">
        <w:rPr>
          <w:rFonts w:ascii="Arial" w:hAnsi="Arial" w:cs="Arial"/>
          <w:b/>
          <w:color w:val="666666"/>
          <w:u w:val="single"/>
        </w:rPr>
        <w:t>Compensación económica</w:t>
      </w:r>
      <w:r w:rsidRPr="00A00A32">
        <w:rPr>
          <w:rFonts w:ascii="Arial" w:hAnsi="Arial" w:cs="Arial"/>
          <w:color w:val="666666"/>
        </w:rPr>
        <w:t>. Definición y naturaleza jurídica: diferencia con otros institutos. Plazo de caducidad. Legitimación, medios de prueba, determinación, supuestos de procedencia e improcedencia. Alimentos entre cónyuges o convivientes y supuestos de procedencia ante el cese de la convivencia o el divorcio. Procedencia. Cuestiones de competencia.</w:t>
      </w:r>
    </w:p>
    <w:p w:rsidR="007C1923" w:rsidRDefault="007C1923" w:rsidP="007C1923">
      <w:pPr>
        <w:pStyle w:val="brz-css-tpmdz"/>
        <w:shd w:val="clear" w:color="auto" w:fill="FFFFFF"/>
        <w:spacing w:before="0" w:beforeAutospacing="0" w:after="0" w:afterAutospacing="0"/>
        <w:rPr>
          <w:color w:val="000000"/>
        </w:rPr>
      </w:pPr>
    </w:p>
    <w:p w:rsidR="007C1923" w:rsidRDefault="007C1923" w:rsidP="00C74E78">
      <w:pPr>
        <w:pStyle w:val="brz-css-rhrkf"/>
        <w:shd w:val="clear" w:color="auto" w:fill="FFFFFF"/>
        <w:spacing w:before="0" w:beforeAutospacing="0" w:after="0" w:afterAutospacing="0"/>
        <w:jc w:val="both"/>
        <w:rPr>
          <w:color w:val="000000"/>
        </w:rPr>
      </w:pPr>
    </w:p>
    <w:p w:rsidR="007C1923" w:rsidRPr="00C74E78" w:rsidRDefault="007C1923" w:rsidP="00C74E78">
      <w:pPr>
        <w:pStyle w:val="brz-css-gspxu"/>
        <w:shd w:val="clear" w:color="auto" w:fill="FFFFFF"/>
        <w:spacing w:before="0" w:beforeAutospacing="0" w:after="0" w:afterAutospacing="0" w:line="360" w:lineRule="auto"/>
        <w:jc w:val="both"/>
        <w:rPr>
          <w:rFonts w:ascii="Arial" w:hAnsi="Arial" w:cs="Arial"/>
          <w:color w:val="000000"/>
        </w:rPr>
      </w:pPr>
      <w:r w:rsidRPr="00C74E78">
        <w:rPr>
          <w:rFonts w:ascii="Arial" w:hAnsi="Arial" w:cs="Arial"/>
          <w:color w:val="666666"/>
        </w:rPr>
        <w:t xml:space="preserve"> </w:t>
      </w:r>
      <w:r w:rsidRPr="00C74E78">
        <w:rPr>
          <w:rFonts w:ascii="Arial" w:hAnsi="Arial" w:cs="Arial"/>
          <w:b/>
          <w:color w:val="666666"/>
          <w:u w:val="single"/>
        </w:rPr>
        <w:t>Los Tratados internacionales de DD. HH</w:t>
      </w:r>
      <w:r w:rsidR="00C74E78">
        <w:rPr>
          <w:rFonts w:ascii="Arial" w:hAnsi="Arial" w:cs="Arial"/>
          <w:b/>
          <w:color w:val="666666"/>
          <w:u w:val="single"/>
        </w:rPr>
        <w:t>:</w:t>
      </w:r>
      <w:r w:rsidR="00C74E78">
        <w:rPr>
          <w:rFonts w:ascii="Arial" w:hAnsi="Arial" w:cs="Arial"/>
          <w:color w:val="666666"/>
        </w:rPr>
        <w:t xml:space="preserve"> </w:t>
      </w:r>
      <w:r w:rsidRPr="00C74E78">
        <w:rPr>
          <w:rFonts w:ascii="Arial" w:hAnsi="Arial" w:cs="Arial"/>
          <w:color w:val="666666"/>
        </w:rPr>
        <w:t>ámbito interno y su impacto en los procesos judiciales -artículos 75 inciso 22 de la Constitución Nacional y 22 de la Constitución Provincial. Co</w:t>
      </w:r>
      <w:r w:rsidR="00C74E78">
        <w:rPr>
          <w:rFonts w:ascii="Arial" w:hAnsi="Arial" w:cs="Arial"/>
          <w:color w:val="666666"/>
        </w:rPr>
        <w:t xml:space="preserve">ntrol de constitucionalidad, de </w:t>
      </w:r>
      <w:r w:rsidRPr="00C74E78">
        <w:rPr>
          <w:rFonts w:ascii="Arial" w:hAnsi="Arial" w:cs="Arial"/>
          <w:color w:val="666666"/>
        </w:rPr>
        <w:t>convencionalidad e inaplicabilidad de las normas jurídicas.</w:t>
      </w:r>
    </w:p>
    <w:p w:rsidR="007C1923" w:rsidRPr="00C74E78" w:rsidRDefault="007C1923" w:rsidP="00C74E78">
      <w:pPr>
        <w:pStyle w:val="brz-css-pldjd"/>
        <w:shd w:val="clear" w:color="auto" w:fill="FFFFFF"/>
        <w:spacing w:before="0" w:beforeAutospacing="0" w:after="0" w:afterAutospacing="0" w:line="360" w:lineRule="auto"/>
        <w:jc w:val="both"/>
        <w:rPr>
          <w:rFonts w:ascii="Arial" w:hAnsi="Arial" w:cs="Arial"/>
          <w:color w:val="000000"/>
        </w:rPr>
      </w:pPr>
    </w:p>
    <w:sectPr w:rsidR="007C1923" w:rsidRPr="00C74E78" w:rsidSect="008166E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23"/>
    <w:rsid w:val="000034E7"/>
    <w:rsid w:val="00011541"/>
    <w:rsid w:val="00013B64"/>
    <w:rsid w:val="00023244"/>
    <w:rsid w:val="000233AE"/>
    <w:rsid w:val="00023F04"/>
    <w:rsid w:val="00034F8D"/>
    <w:rsid w:val="0004372C"/>
    <w:rsid w:val="00051B32"/>
    <w:rsid w:val="00071A94"/>
    <w:rsid w:val="0007538D"/>
    <w:rsid w:val="00083617"/>
    <w:rsid w:val="000A2819"/>
    <w:rsid w:val="000B38F5"/>
    <w:rsid w:val="000B3F0C"/>
    <w:rsid w:val="000C2A16"/>
    <w:rsid w:val="000C7E4B"/>
    <w:rsid w:val="000D0CDB"/>
    <w:rsid w:val="000D2ACF"/>
    <w:rsid w:val="000D3390"/>
    <w:rsid w:val="000D35BA"/>
    <w:rsid w:val="000E084C"/>
    <w:rsid w:val="00105A07"/>
    <w:rsid w:val="00110C47"/>
    <w:rsid w:val="00121ED5"/>
    <w:rsid w:val="00122432"/>
    <w:rsid w:val="001319EC"/>
    <w:rsid w:val="00134947"/>
    <w:rsid w:val="00142D09"/>
    <w:rsid w:val="00143597"/>
    <w:rsid w:val="00145D14"/>
    <w:rsid w:val="00154F07"/>
    <w:rsid w:val="00163697"/>
    <w:rsid w:val="00170649"/>
    <w:rsid w:val="00177235"/>
    <w:rsid w:val="00177562"/>
    <w:rsid w:val="00177E40"/>
    <w:rsid w:val="001831D5"/>
    <w:rsid w:val="00196D70"/>
    <w:rsid w:val="00197AC1"/>
    <w:rsid w:val="001A1851"/>
    <w:rsid w:val="001B0233"/>
    <w:rsid w:val="001B21F8"/>
    <w:rsid w:val="001B3002"/>
    <w:rsid w:val="001B66D7"/>
    <w:rsid w:val="001C505C"/>
    <w:rsid w:val="001D0078"/>
    <w:rsid w:val="001D3F07"/>
    <w:rsid w:val="001D5623"/>
    <w:rsid w:val="001F65D1"/>
    <w:rsid w:val="002019B8"/>
    <w:rsid w:val="002137DE"/>
    <w:rsid w:val="00222A14"/>
    <w:rsid w:val="002274F6"/>
    <w:rsid w:val="00233ABE"/>
    <w:rsid w:val="00266461"/>
    <w:rsid w:val="0027308C"/>
    <w:rsid w:val="002741BD"/>
    <w:rsid w:val="002745F7"/>
    <w:rsid w:val="002762C9"/>
    <w:rsid w:val="00285E91"/>
    <w:rsid w:val="0029040B"/>
    <w:rsid w:val="002A24FF"/>
    <w:rsid w:val="002A7040"/>
    <w:rsid w:val="002A7572"/>
    <w:rsid w:val="002B1983"/>
    <w:rsid w:val="002C08A9"/>
    <w:rsid w:val="002C76FA"/>
    <w:rsid w:val="002D2EAD"/>
    <w:rsid w:val="002E111C"/>
    <w:rsid w:val="002E37ED"/>
    <w:rsid w:val="002E405E"/>
    <w:rsid w:val="002E70A1"/>
    <w:rsid w:val="002F2B19"/>
    <w:rsid w:val="002F6540"/>
    <w:rsid w:val="002F781B"/>
    <w:rsid w:val="00300883"/>
    <w:rsid w:val="003027CD"/>
    <w:rsid w:val="003050E7"/>
    <w:rsid w:val="00311791"/>
    <w:rsid w:val="0033359C"/>
    <w:rsid w:val="003363F8"/>
    <w:rsid w:val="00337DDA"/>
    <w:rsid w:val="00342EBF"/>
    <w:rsid w:val="00346B3D"/>
    <w:rsid w:val="00346DE0"/>
    <w:rsid w:val="00346FF2"/>
    <w:rsid w:val="003553CE"/>
    <w:rsid w:val="003558DE"/>
    <w:rsid w:val="0035768F"/>
    <w:rsid w:val="00361686"/>
    <w:rsid w:val="0036480C"/>
    <w:rsid w:val="003743A3"/>
    <w:rsid w:val="00384BBA"/>
    <w:rsid w:val="003966D5"/>
    <w:rsid w:val="00396E28"/>
    <w:rsid w:val="003970EC"/>
    <w:rsid w:val="003A15B4"/>
    <w:rsid w:val="003A69A4"/>
    <w:rsid w:val="003B373B"/>
    <w:rsid w:val="003B4F87"/>
    <w:rsid w:val="003B7C00"/>
    <w:rsid w:val="003C4972"/>
    <w:rsid w:val="003C6ABA"/>
    <w:rsid w:val="003D3693"/>
    <w:rsid w:val="003E1A3E"/>
    <w:rsid w:val="003E3C8F"/>
    <w:rsid w:val="003E5A34"/>
    <w:rsid w:val="003F5BB3"/>
    <w:rsid w:val="003F6251"/>
    <w:rsid w:val="003F7642"/>
    <w:rsid w:val="003F79B1"/>
    <w:rsid w:val="00400F24"/>
    <w:rsid w:val="004119A9"/>
    <w:rsid w:val="004137B1"/>
    <w:rsid w:val="00417A84"/>
    <w:rsid w:val="00421391"/>
    <w:rsid w:val="00431089"/>
    <w:rsid w:val="00433043"/>
    <w:rsid w:val="00436EE5"/>
    <w:rsid w:val="00442968"/>
    <w:rsid w:val="004575D7"/>
    <w:rsid w:val="00460E92"/>
    <w:rsid w:val="00461F97"/>
    <w:rsid w:val="00467FF8"/>
    <w:rsid w:val="00470C5F"/>
    <w:rsid w:val="0047686B"/>
    <w:rsid w:val="00487D34"/>
    <w:rsid w:val="00493041"/>
    <w:rsid w:val="004A171A"/>
    <w:rsid w:val="004D1E76"/>
    <w:rsid w:val="004D4C20"/>
    <w:rsid w:val="004D73C9"/>
    <w:rsid w:val="004E0634"/>
    <w:rsid w:val="004F00B2"/>
    <w:rsid w:val="004F2782"/>
    <w:rsid w:val="004F2A1F"/>
    <w:rsid w:val="004F625A"/>
    <w:rsid w:val="004F74AE"/>
    <w:rsid w:val="00502AD3"/>
    <w:rsid w:val="005031D1"/>
    <w:rsid w:val="0050683A"/>
    <w:rsid w:val="00507362"/>
    <w:rsid w:val="00512C60"/>
    <w:rsid w:val="00514091"/>
    <w:rsid w:val="005164F3"/>
    <w:rsid w:val="005326A9"/>
    <w:rsid w:val="005336B8"/>
    <w:rsid w:val="00541C82"/>
    <w:rsid w:val="0055098A"/>
    <w:rsid w:val="00555024"/>
    <w:rsid w:val="005574EB"/>
    <w:rsid w:val="00576753"/>
    <w:rsid w:val="005826A8"/>
    <w:rsid w:val="00582FF8"/>
    <w:rsid w:val="005979EE"/>
    <w:rsid w:val="005A158E"/>
    <w:rsid w:val="005A1668"/>
    <w:rsid w:val="005A2E6C"/>
    <w:rsid w:val="005A2F6E"/>
    <w:rsid w:val="005B5915"/>
    <w:rsid w:val="005B74F5"/>
    <w:rsid w:val="005C6ADA"/>
    <w:rsid w:val="005E30BE"/>
    <w:rsid w:val="005E6589"/>
    <w:rsid w:val="005F1A28"/>
    <w:rsid w:val="005F2EDF"/>
    <w:rsid w:val="005F4288"/>
    <w:rsid w:val="006017E1"/>
    <w:rsid w:val="00607F56"/>
    <w:rsid w:val="0061122E"/>
    <w:rsid w:val="00612F86"/>
    <w:rsid w:val="00613291"/>
    <w:rsid w:val="006143AD"/>
    <w:rsid w:val="006214F6"/>
    <w:rsid w:val="00622F40"/>
    <w:rsid w:val="00626DEA"/>
    <w:rsid w:val="006325B9"/>
    <w:rsid w:val="006326D5"/>
    <w:rsid w:val="00636B9A"/>
    <w:rsid w:val="00642ACB"/>
    <w:rsid w:val="0064441E"/>
    <w:rsid w:val="00644AA2"/>
    <w:rsid w:val="00645C24"/>
    <w:rsid w:val="00651D64"/>
    <w:rsid w:val="00652998"/>
    <w:rsid w:val="00664C81"/>
    <w:rsid w:val="0066787F"/>
    <w:rsid w:val="00671B4B"/>
    <w:rsid w:val="006741F4"/>
    <w:rsid w:val="00682168"/>
    <w:rsid w:val="0068481F"/>
    <w:rsid w:val="00686BFE"/>
    <w:rsid w:val="00691410"/>
    <w:rsid w:val="006928FA"/>
    <w:rsid w:val="006A1D8B"/>
    <w:rsid w:val="006C08A5"/>
    <w:rsid w:val="006C19BE"/>
    <w:rsid w:val="006D751C"/>
    <w:rsid w:val="006E67A3"/>
    <w:rsid w:val="006E6A0B"/>
    <w:rsid w:val="006F4EFB"/>
    <w:rsid w:val="00707730"/>
    <w:rsid w:val="0070792D"/>
    <w:rsid w:val="00715BAE"/>
    <w:rsid w:val="00724262"/>
    <w:rsid w:val="0072562C"/>
    <w:rsid w:val="00732ED5"/>
    <w:rsid w:val="00743906"/>
    <w:rsid w:val="00745C14"/>
    <w:rsid w:val="007541FA"/>
    <w:rsid w:val="0075467F"/>
    <w:rsid w:val="00756C30"/>
    <w:rsid w:val="00763823"/>
    <w:rsid w:val="00763E78"/>
    <w:rsid w:val="00770365"/>
    <w:rsid w:val="00773DA2"/>
    <w:rsid w:val="00774A28"/>
    <w:rsid w:val="00775B9D"/>
    <w:rsid w:val="00775DDD"/>
    <w:rsid w:val="007A2856"/>
    <w:rsid w:val="007A5515"/>
    <w:rsid w:val="007A5872"/>
    <w:rsid w:val="007B71E2"/>
    <w:rsid w:val="007C1923"/>
    <w:rsid w:val="007C4432"/>
    <w:rsid w:val="007C5F71"/>
    <w:rsid w:val="007C74B4"/>
    <w:rsid w:val="007D72BF"/>
    <w:rsid w:val="007E0696"/>
    <w:rsid w:val="007F25FB"/>
    <w:rsid w:val="007F4E3A"/>
    <w:rsid w:val="0080367D"/>
    <w:rsid w:val="00806319"/>
    <w:rsid w:val="008066B3"/>
    <w:rsid w:val="008128F0"/>
    <w:rsid w:val="00812FBC"/>
    <w:rsid w:val="008166EE"/>
    <w:rsid w:val="00817D5F"/>
    <w:rsid w:val="00822312"/>
    <w:rsid w:val="00831C90"/>
    <w:rsid w:val="00842A8F"/>
    <w:rsid w:val="00857874"/>
    <w:rsid w:val="008718E1"/>
    <w:rsid w:val="00872716"/>
    <w:rsid w:val="00875ADD"/>
    <w:rsid w:val="00882147"/>
    <w:rsid w:val="00887DA2"/>
    <w:rsid w:val="00891673"/>
    <w:rsid w:val="008934D2"/>
    <w:rsid w:val="008975D0"/>
    <w:rsid w:val="008A2538"/>
    <w:rsid w:val="008A49E7"/>
    <w:rsid w:val="008B3D73"/>
    <w:rsid w:val="008B3E93"/>
    <w:rsid w:val="008B5BFF"/>
    <w:rsid w:val="008D4925"/>
    <w:rsid w:val="008D4FC0"/>
    <w:rsid w:val="008D6EDF"/>
    <w:rsid w:val="00910923"/>
    <w:rsid w:val="009213BF"/>
    <w:rsid w:val="00923590"/>
    <w:rsid w:val="009238ED"/>
    <w:rsid w:val="00927B95"/>
    <w:rsid w:val="009323D9"/>
    <w:rsid w:val="009355A4"/>
    <w:rsid w:val="00940F03"/>
    <w:rsid w:val="00943D5E"/>
    <w:rsid w:val="00944F11"/>
    <w:rsid w:val="0094629B"/>
    <w:rsid w:val="00951D48"/>
    <w:rsid w:val="0095703A"/>
    <w:rsid w:val="00972C82"/>
    <w:rsid w:val="0097374B"/>
    <w:rsid w:val="00975D8F"/>
    <w:rsid w:val="00991B9B"/>
    <w:rsid w:val="00995B19"/>
    <w:rsid w:val="009B0167"/>
    <w:rsid w:val="009B1FC2"/>
    <w:rsid w:val="009B28C8"/>
    <w:rsid w:val="009C00BA"/>
    <w:rsid w:val="009C01ED"/>
    <w:rsid w:val="009C4C76"/>
    <w:rsid w:val="009D098C"/>
    <w:rsid w:val="009D20FC"/>
    <w:rsid w:val="009D43FD"/>
    <w:rsid w:val="009E26C8"/>
    <w:rsid w:val="009F2B5A"/>
    <w:rsid w:val="009F7806"/>
    <w:rsid w:val="00A00A32"/>
    <w:rsid w:val="00A13D64"/>
    <w:rsid w:val="00A261BF"/>
    <w:rsid w:val="00A43F0F"/>
    <w:rsid w:val="00A45CF6"/>
    <w:rsid w:val="00A51F59"/>
    <w:rsid w:val="00A57078"/>
    <w:rsid w:val="00A60D34"/>
    <w:rsid w:val="00A67FD1"/>
    <w:rsid w:val="00A73D8E"/>
    <w:rsid w:val="00A752E0"/>
    <w:rsid w:val="00A8028A"/>
    <w:rsid w:val="00A84FF4"/>
    <w:rsid w:val="00A875E6"/>
    <w:rsid w:val="00A9089D"/>
    <w:rsid w:val="00A908C5"/>
    <w:rsid w:val="00A91143"/>
    <w:rsid w:val="00A92C9C"/>
    <w:rsid w:val="00AA3368"/>
    <w:rsid w:val="00AB4425"/>
    <w:rsid w:val="00AC356D"/>
    <w:rsid w:val="00AC4218"/>
    <w:rsid w:val="00AD3BA7"/>
    <w:rsid w:val="00AD730A"/>
    <w:rsid w:val="00AE1255"/>
    <w:rsid w:val="00AE16DC"/>
    <w:rsid w:val="00AE422F"/>
    <w:rsid w:val="00AE57B0"/>
    <w:rsid w:val="00AF14FF"/>
    <w:rsid w:val="00AF4C60"/>
    <w:rsid w:val="00B047E2"/>
    <w:rsid w:val="00B06BA5"/>
    <w:rsid w:val="00B06EBD"/>
    <w:rsid w:val="00B07DD7"/>
    <w:rsid w:val="00B11E27"/>
    <w:rsid w:val="00B144A5"/>
    <w:rsid w:val="00B1692C"/>
    <w:rsid w:val="00B269D4"/>
    <w:rsid w:val="00B3257E"/>
    <w:rsid w:val="00B34148"/>
    <w:rsid w:val="00B478A5"/>
    <w:rsid w:val="00B573DE"/>
    <w:rsid w:val="00B6669C"/>
    <w:rsid w:val="00B806C7"/>
    <w:rsid w:val="00B8627D"/>
    <w:rsid w:val="00B8715B"/>
    <w:rsid w:val="00B9040F"/>
    <w:rsid w:val="00BA227A"/>
    <w:rsid w:val="00BB4BB6"/>
    <w:rsid w:val="00BC45DB"/>
    <w:rsid w:val="00BC4985"/>
    <w:rsid w:val="00BD6779"/>
    <w:rsid w:val="00BE1477"/>
    <w:rsid w:val="00BE6F52"/>
    <w:rsid w:val="00BF14AB"/>
    <w:rsid w:val="00BF2C4A"/>
    <w:rsid w:val="00BF51B3"/>
    <w:rsid w:val="00BF7B2B"/>
    <w:rsid w:val="00C0038D"/>
    <w:rsid w:val="00C02AE9"/>
    <w:rsid w:val="00C02C4B"/>
    <w:rsid w:val="00C07F08"/>
    <w:rsid w:val="00C16C77"/>
    <w:rsid w:val="00C46A92"/>
    <w:rsid w:val="00C47AC1"/>
    <w:rsid w:val="00C50952"/>
    <w:rsid w:val="00C527A0"/>
    <w:rsid w:val="00C5386D"/>
    <w:rsid w:val="00C61195"/>
    <w:rsid w:val="00C65617"/>
    <w:rsid w:val="00C71D5B"/>
    <w:rsid w:val="00C74E78"/>
    <w:rsid w:val="00C85592"/>
    <w:rsid w:val="00C90ED2"/>
    <w:rsid w:val="00C93737"/>
    <w:rsid w:val="00C94D09"/>
    <w:rsid w:val="00C96BF0"/>
    <w:rsid w:val="00CA0CA4"/>
    <w:rsid w:val="00CA28DC"/>
    <w:rsid w:val="00CA51A0"/>
    <w:rsid w:val="00CA7FFC"/>
    <w:rsid w:val="00CB22F2"/>
    <w:rsid w:val="00CB642D"/>
    <w:rsid w:val="00CC6EDF"/>
    <w:rsid w:val="00CD3BC9"/>
    <w:rsid w:val="00CD4A09"/>
    <w:rsid w:val="00CD4E4E"/>
    <w:rsid w:val="00CE0ACB"/>
    <w:rsid w:val="00CE326E"/>
    <w:rsid w:val="00CE51B1"/>
    <w:rsid w:val="00CF0759"/>
    <w:rsid w:val="00CF1796"/>
    <w:rsid w:val="00CF4A8A"/>
    <w:rsid w:val="00D04C5D"/>
    <w:rsid w:val="00D10218"/>
    <w:rsid w:val="00D1086F"/>
    <w:rsid w:val="00D14926"/>
    <w:rsid w:val="00D208C3"/>
    <w:rsid w:val="00D24B38"/>
    <w:rsid w:val="00D27C00"/>
    <w:rsid w:val="00D35DC1"/>
    <w:rsid w:val="00D41592"/>
    <w:rsid w:val="00D455CA"/>
    <w:rsid w:val="00D511B1"/>
    <w:rsid w:val="00D57D70"/>
    <w:rsid w:val="00D60AC3"/>
    <w:rsid w:val="00D8114E"/>
    <w:rsid w:val="00D84AC9"/>
    <w:rsid w:val="00D84D14"/>
    <w:rsid w:val="00D84F56"/>
    <w:rsid w:val="00D94AB4"/>
    <w:rsid w:val="00DA16B5"/>
    <w:rsid w:val="00DA1BF2"/>
    <w:rsid w:val="00DA7939"/>
    <w:rsid w:val="00DB6C6C"/>
    <w:rsid w:val="00DC3F2B"/>
    <w:rsid w:val="00DC72AC"/>
    <w:rsid w:val="00DD73F7"/>
    <w:rsid w:val="00DE4C2B"/>
    <w:rsid w:val="00DF01AC"/>
    <w:rsid w:val="00DF1A84"/>
    <w:rsid w:val="00E15DD5"/>
    <w:rsid w:val="00E233B4"/>
    <w:rsid w:val="00E31C26"/>
    <w:rsid w:val="00E34492"/>
    <w:rsid w:val="00E3637D"/>
    <w:rsid w:val="00E379AF"/>
    <w:rsid w:val="00E411C3"/>
    <w:rsid w:val="00E44849"/>
    <w:rsid w:val="00E461C3"/>
    <w:rsid w:val="00E46426"/>
    <w:rsid w:val="00E47D27"/>
    <w:rsid w:val="00E500B4"/>
    <w:rsid w:val="00E53260"/>
    <w:rsid w:val="00E54DEC"/>
    <w:rsid w:val="00E556EE"/>
    <w:rsid w:val="00E55CA9"/>
    <w:rsid w:val="00E56394"/>
    <w:rsid w:val="00E61861"/>
    <w:rsid w:val="00E62D9C"/>
    <w:rsid w:val="00E72FCD"/>
    <w:rsid w:val="00E73AE0"/>
    <w:rsid w:val="00E85490"/>
    <w:rsid w:val="00E87561"/>
    <w:rsid w:val="00E875F8"/>
    <w:rsid w:val="00E9553F"/>
    <w:rsid w:val="00E95C25"/>
    <w:rsid w:val="00EA7581"/>
    <w:rsid w:val="00EB3609"/>
    <w:rsid w:val="00EB4F1C"/>
    <w:rsid w:val="00EC2181"/>
    <w:rsid w:val="00EC342D"/>
    <w:rsid w:val="00ED1066"/>
    <w:rsid w:val="00ED10F9"/>
    <w:rsid w:val="00EE0B30"/>
    <w:rsid w:val="00EF1D0C"/>
    <w:rsid w:val="00EF57D6"/>
    <w:rsid w:val="00F1120C"/>
    <w:rsid w:val="00F11CDD"/>
    <w:rsid w:val="00F2321A"/>
    <w:rsid w:val="00F25A71"/>
    <w:rsid w:val="00F27714"/>
    <w:rsid w:val="00F34E11"/>
    <w:rsid w:val="00F45884"/>
    <w:rsid w:val="00F512B7"/>
    <w:rsid w:val="00F53230"/>
    <w:rsid w:val="00F60019"/>
    <w:rsid w:val="00F603EE"/>
    <w:rsid w:val="00F664C9"/>
    <w:rsid w:val="00F674DD"/>
    <w:rsid w:val="00F757EC"/>
    <w:rsid w:val="00F759AF"/>
    <w:rsid w:val="00F77E8A"/>
    <w:rsid w:val="00F77EB5"/>
    <w:rsid w:val="00F852E3"/>
    <w:rsid w:val="00F862A6"/>
    <w:rsid w:val="00F91DDB"/>
    <w:rsid w:val="00FA4073"/>
    <w:rsid w:val="00FA4E9B"/>
    <w:rsid w:val="00FB55A6"/>
    <w:rsid w:val="00FB72D1"/>
    <w:rsid w:val="00FC58FA"/>
    <w:rsid w:val="00FC76C7"/>
    <w:rsid w:val="00FD07D7"/>
    <w:rsid w:val="00FE236F"/>
    <w:rsid w:val="00FF257F"/>
    <w:rsid w:val="00FF2EFB"/>
    <w:rsid w:val="00FF6D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A42A3-2BF7-42D7-8C86-8C5D30D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rz-css-dtrnh">
    <w:name w:val="brz-css-dtrnh"/>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hhscl">
    <w:name w:val="brz-css-hhscl"/>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tdvfd">
    <w:name w:val="brz-css-tdvf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lwbgu">
    <w:name w:val="brz-css-lwbgu"/>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uxnv">
    <w:name w:val="brz-css-kuxnv"/>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hiwtp">
    <w:name w:val="brz-css-hiwtp"/>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hvnbt">
    <w:name w:val="brz-css-hvnbt"/>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bupx">
    <w:name w:val="brz-css-qbupx"/>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ayrfw">
    <w:name w:val="brz-css-ayrfw"/>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hzlb">
    <w:name w:val="brz-css-qhzlb"/>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mxcmb">
    <w:name w:val="brz-css-mxcmb"/>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cddrm">
    <w:name w:val="brz-css-cddrm"/>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ibjzq">
    <w:name w:val="brz-css-ibjzq"/>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ejfsd">
    <w:name w:val="brz-css-ejfs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fegpt">
    <w:name w:val="brz-css-fegpt"/>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afhaz">
    <w:name w:val="brz-css-afhaz"/>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wdzie">
    <w:name w:val="brz-css-wdzie"/>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cevid">
    <w:name w:val="brz-css-cevi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jmnc">
    <w:name w:val="brz-css-kjmnc"/>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fvvc">
    <w:name w:val="brz-css-kfvvc"/>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gyejs">
    <w:name w:val="brz-css-gyejs"/>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yffsg">
    <w:name w:val="brz-css-yffsg"/>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mghdq">
    <w:name w:val="brz-css-mghdq"/>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hjcka">
    <w:name w:val="brz-css-hjcka"/>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fhddr">
    <w:name w:val="brz-css-fhddr"/>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gqrev">
    <w:name w:val="brz-css-gqrev"/>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vxubl">
    <w:name w:val="brz-css-vxubl"/>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frhq">
    <w:name w:val="brz-css-qfrhq"/>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biwex">
    <w:name w:val="brz-css-biwex"/>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fcufk">
    <w:name w:val="brz-css-fcufk"/>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rtkiu">
    <w:name w:val="brz-css-rtkiu"/>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mrmh">
    <w:name w:val="brz-css-smrmh"/>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wkebn">
    <w:name w:val="brz-css-wkebn"/>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cynyu">
    <w:name w:val="brz-css-cynyu"/>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umnt">
    <w:name w:val="brz-css-sumnt"/>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baeli">
    <w:name w:val="brz-css-baeli"/>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ukhv">
    <w:name w:val="brz-css-kukhv"/>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rdqjz">
    <w:name w:val="brz-css-rdqjz"/>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munnn">
    <w:name w:val="brz-css-munnn"/>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wgzhx">
    <w:name w:val="brz-css-wgzhx"/>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cppwi">
    <w:name w:val="brz-css-cppwi"/>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yjunp">
    <w:name w:val="brz-css-yjunp"/>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qfhd">
    <w:name w:val="brz-css-qqfh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limje">
    <w:name w:val="brz-css-limje"/>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tutzo">
    <w:name w:val="brz-css-tutzo"/>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mgwck">
    <w:name w:val="brz-css-mgwck"/>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ewams">
    <w:name w:val="brz-css-ewams"/>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bvywx">
    <w:name w:val="brz-css-bvywx"/>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xutkd">
    <w:name w:val="brz-css-xutk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ojzgc">
    <w:name w:val="brz-css-ojzgc"/>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ephes">
    <w:name w:val="brz-css-ephes"/>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objp">
    <w:name w:val="brz-css-kobjp"/>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dnkuz">
    <w:name w:val="brz-css-dnkuz"/>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fkubx">
    <w:name w:val="brz-css-fkubx"/>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ukab">
    <w:name w:val="brz-css-qukab"/>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ytbid">
    <w:name w:val="brz-css-ytbi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kproy">
    <w:name w:val="brz-css-kproy"/>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aoouv">
    <w:name w:val="brz-css-aoouv"/>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lwvhh">
    <w:name w:val="brz-css-lwvhh"/>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tpmdz">
    <w:name w:val="brz-css-tpmdz"/>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rhrkf">
    <w:name w:val="brz-css-rhrkf"/>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fgszj">
    <w:name w:val="brz-css-fgszj"/>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wvnap">
    <w:name w:val="brz-css-wvnap"/>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alvbr">
    <w:name w:val="brz-css-alvbr"/>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ygkl">
    <w:name w:val="brz-css-sygkl"/>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hkud">
    <w:name w:val="brz-css-shku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zcrui">
    <w:name w:val="brz-css-zcrui"/>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gvglt">
    <w:name w:val="brz-css-gvglt"/>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lcql">
    <w:name w:val="brz-css-slcql"/>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gspxu">
    <w:name w:val="brz-css-gspxu"/>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pldjd">
    <w:name w:val="brz-css-pldj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ejajd">
    <w:name w:val="brz-css-ejaj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afxr">
    <w:name w:val="brz-css-qafxr"/>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hzxza">
    <w:name w:val="brz-css-hzxza"/>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tzkr">
    <w:name w:val="brz-css-stzkr"/>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qicqr">
    <w:name w:val="brz-css-qicqr"/>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jrdli">
    <w:name w:val="brz-css-jrdli"/>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vfnpw">
    <w:name w:val="brz-css-vfnpw"/>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zrend">
    <w:name w:val="brz-css-zrend"/>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wykpb">
    <w:name w:val="brz-css-wykpb"/>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vfylq">
    <w:name w:val="brz-css-vfylq"/>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tsltp">
    <w:name w:val="brz-css-tsltp"/>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dsxel">
    <w:name w:val="brz-css-dsxel"/>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rz-css-shfhi">
    <w:name w:val="brz-css-shfhi"/>
    <w:basedOn w:val="Normal"/>
    <w:rsid w:val="007C19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5826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5532">
      <w:bodyDiv w:val="1"/>
      <w:marLeft w:val="0"/>
      <w:marRight w:val="0"/>
      <w:marTop w:val="0"/>
      <w:marBottom w:val="0"/>
      <w:divBdr>
        <w:top w:val="none" w:sz="0" w:space="0" w:color="auto"/>
        <w:left w:val="none" w:sz="0" w:space="0" w:color="auto"/>
        <w:bottom w:val="none" w:sz="0" w:space="0" w:color="auto"/>
        <w:right w:val="none" w:sz="0" w:space="0" w:color="auto"/>
      </w:divBdr>
      <w:divsChild>
        <w:div w:id="1537349446">
          <w:marLeft w:val="0"/>
          <w:marRight w:val="0"/>
          <w:marTop w:val="150"/>
          <w:marBottom w:val="150"/>
          <w:divBdr>
            <w:top w:val="none" w:sz="0" w:space="0" w:color="auto"/>
            <w:left w:val="none" w:sz="0" w:space="0" w:color="auto"/>
            <w:bottom w:val="none" w:sz="0" w:space="0" w:color="auto"/>
            <w:right w:val="none" w:sz="0" w:space="0" w:color="auto"/>
          </w:divBdr>
          <w:divsChild>
            <w:div w:id="1933313577">
              <w:marLeft w:val="0"/>
              <w:marRight w:val="0"/>
              <w:marTop w:val="0"/>
              <w:marBottom w:val="0"/>
              <w:divBdr>
                <w:top w:val="none" w:sz="0" w:space="0" w:color="auto"/>
                <w:left w:val="none" w:sz="0" w:space="0" w:color="auto"/>
                <w:bottom w:val="none" w:sz="0" w:space="0" w:color="auto"/>
                <w:right w:val="none" w:sz="0" w:space="0" w:color="auto"/>
              </w:divBdr>
              <w:divsChild>
                <w:div w:id="20701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5569</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Delma Viani</dc:creator>
  <cp:keywords/>
  <dc:description/>
  <cp:lastModifiedBy>silvina pazos</cp:lastModifiedBy>
  <cp:revision>2</cp:revision>
  <cp:lastPrinted>2021-12-15T09:54:00Z</cp:lastPrinted>
  <dcterms:created xsi:type="dcterms:W3CDTF">2022-02-21T10:17:00Z</dcterms:created>
  <dcterms:modified xsi:type="dcterms:W3CDTF">2022-02-21T10:17:00Z</dcterms:modified>
</cp:coreProperties>
</file>